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C6" w:rsidRPr="004950C6" w:rsidRDefault="004950C6" w:rsidP="004950C6">
      <w:pPr>
        <w:shd w:val="clear" w:color="auto" w:fill="FFFFFF"/>
        <w:spacing w:after="100" w:afterAutospacing="1" w:line="450" w:lineRule="atLeast"/>
        <w:outlineLvl w:val="0"/>
        <w:rPr>
          <w:rFonts w:ascii="Verdana" w:eastAsia="Times New Roman" w:hAnsi="Verdana" w:cs="Times New Roman"/>
          <w:b/>
          <w:bCs/>
          <w:kern w:val="36"/>
          <w:sz w:val="39"/>
          <w:szCs w:val="39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kern w:val="36"/>
          <w:sz w:val="39"/>
          <w:szCs w:val="39"/>
          <w:lang w:eastAsia="ru-RU"/>
        </w:rPr>
        <w:t>Всемирный день борьбы с гепатитом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Ежегодно 28 июля во многих странах проводится Всемирный день борьбы с гепатитом (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World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Hepatitis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Day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). Датой для его учреждения стал день рождения американского врача Баруха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Самюэля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Блумберга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, лауреата Нобелевской премии, открывшего вирус гепатита B.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3676650" cy="2162175"/>
            <wp:effectExtent l="19050" t="0" r="0" b="0"/>
            <wp:docPr id="1" name="Рисунок 1" descr="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Кстати, у Дня есть и свой символ - «Три мудрые обезьяны» - и соответствующий девиз - «ничего не вижу, ничего не слышу, ничего не скажу», как показатель отношения современного общества к проблеме гепатита - то есть её игнорирование. Поэтому проведение Всемирного дня борьбы с гепатитом направлено, прежде всего, на привлечение внимания широкой общественности и специалистов к указанной проблеме, повышение заинтересованности граждан каждой страны в проведении профилактических мероприятий.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Вирусные гепатиты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– 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эт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о инфекционные заболевания, вызванные вирусами А,В,С,Д,Е,F.G и сопровождающиеся поражением печени с благоприятным исходом(А,Е- исключение –вирус Е у беременных женщин), склонностью к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хронизации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, развитию цирроза и рака печени(В,С,Д)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Республике Беларусь чаще всего встречаются вирусы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</w:t>
      </w:r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А</w:t>
      </w:r>
      <w:proofErr w:type="gramEnd"/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, В, С, Д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Гепатиты</w:t>
      </w:r>
      <w:proofErr w:type="gramStart"/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и Е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Распространяются фекально-оральным путе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м-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энтерально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-при употреблении воды   или продуктов, загрязненных вирусами, поэтому заболевание возникает при несоблюдении элементарной личной гигиены или нарушении санитарных правил при приготовлении пищи.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Гепатит А,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  как правило, не вызывает тяжелых последствий, не переходит в хроническую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форму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.О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сновная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мера профилактики – соблюдение гигиены, мытье рук и продуктов, достаточная термическая обработка при приготовлении пищи. Наиболее эффективн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о-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проведение вакцинации против гепатита «А».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Гепатит Е, 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также распространяется фекально-оральным путем, чаще встречается в жарких странах с плохим водоснабжением и особенно опасен для беременных женщин, у которых это заболевание протекает крайне тяжело и может привести к гибели и женщины и плода. Профилактика та же, что и при гепатите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 А</w:t>
      </w:r>
      <w:proofErr w:type="gramEnd"/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3028950" cy="3028950"/>
            <wp:effectExtent l="19050" t="0" r="0" b="0"/>
            <wp:docPr id="2" name="Рисунок 2" descr="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             </w:t>
      </w:r>
      <w:r>
        <w:rPr>
          <w:rFonts w:ascii="Verdana" w:eastAsia="Times New Roman" w:hAnsi="Verdana" w:cs="Times New Roman"/>
          <w:b/>
          <w:bCs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3028950" cy="3028950"/>
            <wp:effectExtent l="19050" t="0" r="0" b="0"/>
            <wp:docPr id="3" name="Рисунок 3" descr="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Гепатиты В</w:t>
      </w:r>
      <w:proofErr w:type="gramStart"/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,С</w:t>
      </w:r>
      <w:proofErr w:type="gramEnd"/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,Д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- характеризуется тяжелым поражением печени, длительным хроническим течением, серьезными осложнениями. Заражение этими видами вирусов происходит через инфицированную кровь -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парентерально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В группе риска заражения парентеральными гепатитами находятся: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1. потребители инъекционных наркотиков;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lastRenderedPageBreak/>
        <w:drawing>
          <wp:inline distT="0" distB="0" distL="0" distR="0">
            <wp:extent cx="3028950" cy="3028950"/>
            <wp:effectExtent l="19050" t="0" r="0" b="0"/>
            <wp:docPr id="4" name="Рисунок 4" descr="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2. лица, получающие донорскую кровь, гемодиализ;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3028950" cy="3028950"/>
            <wp:effectExtent l="19050" t="0" r="0" b="0"/>
            <wp:docPr id="5" name="Рисунок 5" descr="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3.люди, сделавшие </w:t>
      </w:r>
      <w:proofErr w:type="spell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пирсинг</w:t>
      </w:r>
      <w:proofErr w:type="spell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 или татуировку нестерильными инструментами;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lastRenderedPageBreak/>
        <w:drawing>
          <wp:inline distT="0" distB="0" distL="0" distR="0">
            <wp:extent cx="3028950" cy="3028950"/>
            <wp:effectExtent l="19050" t="0" r="0" b="0"/>
            <wp:docPr id="6" name="Рисунок 6" descr="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4.медицинские работники, имеющие контакт с инфицированной кровью;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3028950" cy="3028950"/>
            <wp:effectExtent l="19050" t="0" r="0" b="0"/>
            <wp:docPr id="7" name="Рисунок 7" descr="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5.дети, рожденные от матерей, инфицированных вирусом гепатита;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lastRenderedPageBreak/>
        <w:drawing>
          <wp:inline distT="0" distB="0" distL="0" distR="0">
            <wp:extent cx="3028950" cy="3028950"/>
            <wp:effectExtent l="19050" t="0" r="0" b="0"/>
            <wp:docPr id="8" name="Рисунок 8" descr="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7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6. лица, имеющие половой контакт с инфицированным партнером,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3028950" cy="3028950"/>
            <wp:effectExtent l="19050" t="0" r="0" b="0"/>
            <wp:docPr id="9" name="Рисунок 9" descr="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7.люди, использующие общие с больным предметы личной гигиены-бритвы, ножницы, зубные щетки,- на которых могут оставаться частицы зараженной крови.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lastRenderedPageBreak/>
        <w:drawing>
          <wp:inline distT="0" distB="0" distL="0" distR="0">
            <wp:extent cx="3028950" cy="3028950"/>
            <wp:effectExtent l="19050" t="0" r="0" b="0"/>
            <wp:docPr id="10" name="Рисунок 10" descr="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7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Часто заболевание протекает бессимптомно, при хорошем общем самочувствии, Обнаружить, что человек инфицирован, можно случайно при обнаружении в крови антигена вируса гепатита «В» или антител к вирусу гепатита «С». Миллионы людей заражены вирусами гепатитов и не знают об этом.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типичных случаях острый </w:t>
      </w: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гепатит «В»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 начинается с повышения температуры, слабости, тошноты, рвоты, увеличения печени, потемнения мочи и желтухи. При благоприятном течении может наступить выздоровление, но часто развивается хронический гепатит. Для профилактики вирусного гепатита «В» существуют эффективные вакцины. В Республике Беларусь  новорожденных прививают 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первые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сутки жизни.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Наиболее тяжелой формой вирусного гепатита является </w:t>
      </w:r>
      <w:r w:rsidRPr="004950C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гепатит «С»,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так как только 10%  заболевших  излечиваются самостоятельно, у остальных развивается хронический воспалительный процесс в печени, который в 20% переходит в цирроз. Существует </w:t>
      </w:r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6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генотипов  и несколько подтипов вируса  гепатита «С», поэтому пока против него нет вакцины.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Специфическое  противовирусное лечение препаратами интерферона проводится после дополнительного обследования 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( 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определение генотипа вируса, вирусной нагрузки, обследование щитовидной железы и др.) Продолжительность лечения, вероятность излечения зависит от генотипа, пола, возраста, активности процесса. Лечение сложное, дорогостоящее и длительное ( 6-12 месяцев непрерывно)</w:t>
      </w:r>
      <w:proofErr w:type="gramStart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,к</w:t>
      </w:r>
      <w:proofErr w:type="gramEnd"/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оторое может назначить только специалист.</w:t>
      </w:r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 очень важно 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- </w:t>
      </w:r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не употреблять алкоголь</w:t>
      </w:r>
      <w:r w:rsidRPr="004950C6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!</w:t>
      </w:r>
    </w:p>
    <w:p w:rsidR="004950C6" w:rsidRPr="004950C6" w:rsidRDefault="004950C6" w:rsidP="004950C6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Соблюдайте правила личной гигиены</w:t>
      </w:r>
      <w:proofErr w:type="gramStart"/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 xml:space="preserve"> ,</w:t>
      </w:r>
      <w:proofErr w:type="gramEnd"/>
      <w:r w:rsidRPr="004950C6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 xml:space="preserve"> ведите здоровый образ жизни ,будьте счастливы и не болейте!!!</w:t>
      </w:r>
    </w:p>
    <w:sectPr w:rsidR="004950C6" w:rsidRPr="004950C6" w:rsidSect="007A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0C6"/>
    <w:rsid w:val="004950C6"/>
    <w:rsid w:val="007A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64"/>
  </w:style>
  <w:style w:type="paragraph" w:styleId="1">
    <w:name w:val="heading 1"/>
    <w:basedOn w:val="a"/>
    <w:link w:val="10"/>
    <w:uiPriority w:val="9"/>
    <w:qFormat/>
    <w:rsid w:val="0049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0C6"/>
    <w:rPr>
      <w:b/>
      <w:bCs/>
    </w:rPr>
  </w:style>
  <w:style w:type="character" w:styleId="a5">
    <w:name w:val="Emphasis"/>
    <w:basedOn w:val="a0"/>
    <w:uiPriority w:val="20"/>
    <w:qFormat/>
    <w:rsid w:val="004950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</Words>
  <Characters>3643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2018-07-18T17:22:00Z</dcterms:created>
  <dcterms:modified xsi:type="dcterms:W3CDTF">2018-07-18T17:23:00Z</dcterms:modified>
</cp:coreProperties>
</file>